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juni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>De deelnemer beoordeeld de algemene gezondheidstoestand van de zorgvrag</w:t>
      </w:r>
      <w:bookmarkStart w:id="0" w:name="_GoBack"/>
      <w:bookmarkEnd w:id="0"/>
      <w:r w:rsidRPr="0084270C">
        <w:rPr>
          <w:rFonts w:asciiTheme="majorHAnsi" w:hAnsiTheme="majorHAnsi" w:cstheme="majorHAnsi"/>
        </w:rPr>
        <w:t>er, alvorens de verpleegtechnische handeling wordt uitgevoerd.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kan ten aanzien van het inbrengen en/of toedienen van maagsonde en sondevoeding.  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kan gerichte observaties ten aanzien van mogelijke complicaties bij het inbrengen of toedienen van maagsonde en sondevoeding. 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kan een PEG-sonde verzorgen en/of verwisselen (niveau 4) en eventuele complicaties tijdig herkennen.  </w:t>
      </w:r>
    </w:p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84270C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71CF4"/>
  <w14:defaultImageDpi w14:val="300"/>
  <w15:docId w15:val="{B72A65BD-1F67-4A21-AF40-FF6D37B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3</cp:revision>
  <dcterms:created xsi:type="dcterms:W3CDTF">2018-05-13T15:10:00Z</dcterms:created>
  <dcterms:modified xsi:type="dcterms:W3CDTF">2018-05-13T17:32:00Z</dcterms:modified>
</cp:coreProperties>
</file>